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1</w:t>
      </w: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960" w:firstLineChars="30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w:t>
      </w:r>
      <w:r>
        <w:rPr>
          <w:rFonts w:hint="eastAsia" w:ascii="Times New Roman" w:hAnsi="Times New Roman" w:eastAsia="方正仿宋_GBK" w:cs="Times New Roman"/>
          <w:snapToGrid w:val="0"/>
          <w:kern w:val="0"/>
          <w:sz w:val="32"/>
          <w:szCs w:val="20"/>
          <w:lang w:val="en-US" w:eastAsia="zh-CN"/>
        </w:rPr>
        <w:t>种植或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苗木供应商提供以下证明</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纳税申报表及明细</w:t>
      </w:r>
      <w:r>
        <w:rPr>
          <w:rFonts w:hint="eastAsia" w:eastAsia="方正仿宋_GBK" w:cs="Times New Roman"/>
          <w:color w:val="000000"/>
          <w:sz w:val="32"/>
          <w:szCs w:val="32"/>
          <w:lang w:val="en-US" w:eastAsia="zh-CN"/>
        </w:rPr>
        <w:t>（或</w:t>
      </w:r>
      <w:r>
        <w:rPr>
          <w:rFonts w:hint="eastAsia" w:ascii="Times New Roman" w:hAnsi="Times New Roman" w:eastAsia="方正仿宋_GBK" w:cs="Times New Roman"/>
          <w:color w:val="000000"/>
          <w:sz w:val="32"/>
          <w:szCs w:val="32"/>
          <w:lang w:val="en-US" w:eastAsia="zh-CN"/>
        </w:rPr>
        <w:t>完税证明</w:t>
      </w:r>
      <w:r>
        <w:rPr>
          <w:rFonts w:hint="eastAsia" w:eastAsia="方正仿宋_GBK" w:cs="Times New Roman"/>
          <w:color w:val="000000"/>
          <w:sz w:val="32"/>
          <w:szCs w:val="32"/>
          <w:lang w:val="en-US" w:eastAsia="zh-CN"/>
        </w:rPr>
        <w:t>）、减免税备案表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纳税申报表及明细</w:t>
      </w:r>
      <w:r>
        <w:rPr>
          <w:rFonts w:hint="eastAsia" w:eastAsia="方正仿宋_GBK" w:cs="Times New Roman"/>
          <w:color w:val="000000"/>
          <w:sz w:val="32"/>
          <w:szCs w:val="32"/>
          <w:lang w:val="en-US" w:eastAsia="zh-CN"/>
        </w:rPr>
        <w:t>（或</w:t>
      </w:r>
      <w:r>
        <w:rPr>
          <w:rFonts w:hint="eastAsia" w:ascii="Times New Roman" w:hAnsi="Times New Roman" w:eastAsia="方正仿宋_GBK" w:cs="Times New Roman"/>
          <w:color w:val="000000"/>
          <w:sz w:val="32"/>
          <w:szCs w:val="32"/>
          <w:lang w:val="en-US" w:eastAsia="zh-CN"/>
        </w:rPr>
        <w:t>完税证明</w:t>
      </w:r>
      <w:r>
        <w:rPr>
          <w:rFonts w:hint="eastAsia" w:eastAsia="方正仿宋_GBK" w:cs="Times New Roman"/>
          <w:color w:val="000000"/>
          <w:sz w:val="32"/>
          <w:szCs w:val="32"/>
          <w:lang w:val="en-US" w:eastAsia="zh-CN"/>
        </w:rPr>
        <w:t>）、减免税备案表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r>
        <w:rPr>
          <w:rFonts w:hint="eastAsia" w:ascii="黑体" w:eastAsia="黑体"/>
          <w:color w:val="000000"/>
          <w:kern w:val="0"/>
          <w:sz w:val="32"/>
          <w:szCs w:val="32"/>
          <w:lang w:val="en-US" w:eastAsia="zh-CN"/>
        </w:rPr>
        <w:t xml:space="preserve">    </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color w:val="000000"/>
          <w:sz w:val="32"/>
          <w:szCs w:val="32"/>
          <w:lang w:val="en-US" w:eastAsia="zh-CN"/>
        </w:rPr>
        <w:t>可开具的增值税专用发票</w:t>
      </w:r>
      <w:r>
        <w:rPr>
          <w:rFonts w:hint="eastAsia" w:eastAsia="方正仿宋_GBK" w:cs="Times New Roman"/>
          <w:color w:val="000000"/>
          <w:sz w:val="32"/>
          <w:szCs w:val="32"/>
          <w:lang w:val="en-US" w:eastAsia="zh-CN"/>
        </w:rPr>
        <w:t>及减免税备案表、免税发票</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注：</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宋体" w:hAnsi="宋体" w:eastAsia="宋体" w:cs="宋体"/>
          <w:b/>
          <w:bCs w:val="0"/>
          <w:i w:val="0"/>
          <w:color w:val="000000"/>
          <w:kern w:val="0"/>
          <w:sz w:val="20"/>
          <w:szCs w:val="20"/>
          <w:u w:val="none"/>
          <w:lang w:val="en-US" w:eastAsia="zh-CN" w:bidi="ar"/>
        </w:rPr>
      </w:pPr>
      <w:r>
        <w:rPr>
          <w:rFonts w:hint="eastAsia" w:ascii="方正仿宋_GBK" w:hAnsi="方正仿宋_GBK" w:eastAsia="方正仿宋_GBK" w:cs="方正仿宋_GBK"/>
          <w:b/>
          <w:bCs w:val="0"/>
          <w:color w:val="000000"/>
          <w:kern w:val="0"/>
          <w:sz w:val="24"/>
          <w:szCs w:val="24"/>
          <w:lang w:val="en-US" w:eastAsia="zh-CN"/>
        </w:rPr>
        <w:t>2.苗商提供上述表格中2019年8月1日以来具有单项合同金额20万元及以上苗木销售业绩2份（合同封面、金额页、签署页），业绩付在此表后。</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在“信用中国”网站查询下载完整企业信用报告，个体户提供信用承诺书）</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lang w:val="en-US" w:eastAsia="zh-CN"/>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个体工商户</w:t>
      </w:r>
      <w:r>
        <w:rPr>
          <w:rFonts w:hint="eastAsia" w:ascii="方正小标宋_GBK" w:hAnsi="方正小标宋_GBK" w:eastAsia="方正小标宋_GBK" w:cs="方正小标宋_GBK"/>
          <w:sz w:val="32"/>
          <w:szCs w:val="32"/>
        </w:rPr>
        <w:t>信用承诺书</w:t>
      </w:r>
    </w:p>
    <w:p>
      <w:pPr>
        <w:spacing w:line="160" w:lineRule="exact"/>
        <w:ind w:right="25" w:rightChars="12"/>
        <w:jc w:val="center"/>
        <w:rPr>
          <w:rFonts w:hint="eastAsia" w:ascii="宋体" w:hAnsi="宋体" w:cs="方正小标宋_GBK"/>
          <w:b/>
          <w:sz w:val="36"/>
          <w:szCs w:val="36"/>
        </w:rPr>
      </w:pP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在申请入库、资格审查、投标文件承诺等环节中，本人以企业</w:t>
      </w:r>
      <w:r>
        <w:rPr>
          <w:rFonts w:hint="eastAsia" w:ascii="仿宋_GB2312" w:hAnsi="仿宋" w:eastAsia="仿宋_GB2312"/>
          <w:sz w:val="28"/>
          <w:szCs w:val="28"/>
          <w:lang w:val="en-US" w:eastAsia="zh-CN"/>
        </w:rPr>
        <w:t>负责人</w:t>
      </w:r>
      <w:r>
        <w:rPr>
          <w:rFonts w:hint="eastAsia" w:ascii="仿宋_GB2312" w:hAnsi="仿宋" w:eastAsia="仿宋_GB2312"/>
          <w:sz w:val="28"/>
          <w:szCs w:val="28"/>
        </w:rPr>
        <w:t>身份郑重承诺：</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一、严格遵守国家法律、法规和规章，全面履行应尽的责任和义务。</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二、本企业提供的材料所涉及的全部信息内容合法、真实、有效，无任何伪造、修改、虚假成份。</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三</w:t>
      </w:r>
      <w:r>
        <w:rPr>
          <w:rFonts w:hint="eastAsia" w:ascii="仿宋_GB2312" w:hAnsi="仿宋" w:eastAsia="仿宋_GB2312"/>
          <w:sz w:val="28"/>
          <w:szCs w:val="28"/>
        </w:rPr>
        <w:t>、本企业在省、市、县（区）公共信用信息系统中没有较重或严重失信记录。</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四</w:t>
      </w:r>
      <w:r>
        <w:rPr>
          <w:rFonts w:hint="eastAsia" w:ascii="仿宋_GB2312" w:hAnsi="仿宋" w:eastAsia="仿宋_GB2312"/>
          <w:sz w:val="28"/>
          <w:szCs w:val="28"/>
        </w:rPr>
        <w:t>、本企业今后将认真、及时维护和更新信息库中有关的内容，如未能及时维护和更新，将自愿承担由此造成的一切不良后果。</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五</w:t>
      </w:r>
      <w:r>
        <w:rPr>
          <w:rFonts w:hint="eastAsia" w:ascii="仿宋_GB2312" w:hAnsi="仿宋" w:eastAsia="仿宋_GB2312"/>
          <w:sz w:val="28"/>
          <w:szCs w:val="28"/>
        </w:rPr>
        <w:t>、若违反本承诺，经查实，愿意接受行业主管部门和信用管理部门的监督管理，并接受招标投标相关法律法规规定的处罚。</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六</w:t>
      </w:r>
      <w:r>
        <w:rPr>
          <w:rFonts w:hint="eastAsia" w:ascii="仿宋_GB2312" w:hAnsi="仿宋" w:eastAsia="仿宋_GB2312"/>
          <w:sz w:val="28"/>
          <w:szCs w:val="28"/>
        </w:rPr>
        <w:t>、若违背以上承诺，自愿承担相应的责任。</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840" w:firstLineChars="300"/>
        <w:textAlignment w:val="auto"/>
        <w:rPr>
          <w:rFonts w:hint="eastAsia"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lang w:eastAsia="zh-CN"/>
        </w:rPr>
      </w:pPr>
      <w:r>
        <w:rPr>
          <w:rFonts w:hint="eastAsia" w:ascii="仿宋_GB2312" w:hAnsi="仿宋" w:eastAsia="仿宋_GB2312"/>
          <w:sz w:val="28"/>
          <w:szCs w:val="28"/>
        </w:rPr>
        <w:t>承诺单位：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lang w:eastAsia="zh-CN"/>
        </w:rPr>
      </w:pPr>
      <w:r>
        <w:rPr>
          <w:rFonts w:hint="eastAsia" w:ascii="仿宋_GB2312" w:hAnsi="仿宋" w:eastAsia="仿宋_GB2312"/>
          <w:sz w:val="28"/>
          <w:szCs w:val="28"/>
          <w:lang w:val="en-US" w:eastAsia="zh-CN"/>
        </w:rPr>
        <w:t>负责人</w:t>
      </w:r>
      <w:r>
        <w:rPr>
          <w:rFonts w:hint="eastAsia" w:ascii="仿宋_GB2312" w:hAnsi="仿宋" w:eastAsia="仿宋_GB2312"/>
          <w:sz w:val="28"/>
          <w:szCs w:val="28"/>
        </w:rPr>
        <w:t>（或授权人签字或盖章）：</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lang w:eastAsia="zh-CN"/>
        </w:rPr>
      </w:pPr>
      <w:r>
        <w:rPr>
          <w:rFonts w:hint="eastAsia" w:ascii="仿宋_GB2312" w:hAnsi="仿宋" w:eastAsia="仿宋_GB2312"/>
          <w:sz w:val="28"/>
          <w:szCs w:val="28"/>
        </w:rPr>
        <w:t>承诺单位地址：</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rPr>
      </w:pPr>
      <w:r>
        <w:rPr>
          <w:rFonts w:hint="eastAsia" w:ascii="仿宋_GB2312" w:hAnsi="仿宋" w:eastAsia="仿宋_GB2312"/>
          <w:sz w:val="28"/>
          <w:szCs w:val="28"/>
        </w:rPr>
        <w:t>统一社会信用代码：</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 xml:space="preserve">传真：       </w:t>
      </w:r>
    </w:p>
    <w:p>
      <w:pPr>
        <w:keepNext w:val="0"/>
        <w:keepLines w:val="0"/>
        <w:pageBreakBefore w:val="0"/>
        <w:widowControl w:val="0"/>
        <w:kinsoku/>
        <w:wordWrap/>
        <w:overflowPunct/>
        <w:topLinePunct w:val="0"/>
        <w:autoSpaceDE/>
        <w:autoSpaceDN/>
        <w:bidi w:val="0"/>
        <w:adjustRightInd/>
        <w:snapToGrid/>
        <w:spacing w:line="570" w:lineRule="exact"/>
        <w:ind w:right="25" w:rightChars="12" w:firstLine="840" w:firstLineChars="300"/>
        <w:textAlignment w:val="auto"/>
        <w:rPr>
          <w:rFonts w:hint="eastAsia" w:ascii="仿宋_GB2312" w:hAnsi="仿宋" w:eastAsia="仿宋_GB2312"/>
          <w:sz w:val="28"/>
          <w:szCs w:val="28"/>
        </w:rPr>
      </w:pPr>
    </w:p>
    <w:p>
      <w:pPr>
        <w:autoSpaceDN w:val="0"/>
        <w:spacing w:line="360" w:lineRule="exact"/>
        <w:jc w:val="right"/>
        <w:rPr>
          <w:rFonts w:hint="eastAsia" w:ascii="仿宋_GB2312" w:hAnsi="仿宋" w:eastAsia="仿宋_GB2312"/>
          <w:sz w:val="28"/>
          <w:szCs w:val="28"/>
        </w:rPr>
      </w:pPr>
      <w:r>
        <w:rPr>
          <w:rFonts w:hint="eastAsia" w:ascii="仿宋_GB2312" w:hAnsi="仿宋" w:eastAsia="仿宋_GB2312"/>
          <w:sz w:val="28"/>
          <w:szCs w:val="28"/>
        </w:rPr>
        <w:t>年    月    日</w:t>
      </w: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rPr>
          <w:rFonts w:hint="eastAsia" w:ascii="宋体" w:hAnsi="宋体" w:eastAsia="宋体"/>
          <w:sz w:val="22"/>
          <w:szCs w:val="22"/>
        </w:rPr>
      </w:pPr>
    </w:p>
    <w:p>
      <w:pPr>
        <w:spacing w:beforeLines="0" w:afterLines="0" w:line="560" w:lineRule="exact"/>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p>
      <w:pPr>
        <w:numPr>
          <w:ilvl w:val="0"/>
          <w:numId w:val="0"/>
        </w:numPr>
        <w:tabs>
          <w:tab w:val="left" w:pos="3145"/>
        </w:tabs>
        <w:spacing w:beforeLines="0" w:afterLines="0" w:line="590" w:lineRule="exact"/>
        <w:ind w:right="785"/>
      </w:pPr>
    </w:p>
    <w:sectPr>
      <w:headerReference r:id="rId6" w:type="default"/>
      <w:footerReference r:id="rId7" w:type="default"/>
      <w:footerReference r:id="rId8" w:type="even"/>
      <w:pgSz w:w="11906" w:h="16838"/>
      <w:pgMar w:top="2098" w:right="1417" w:bottom="2098"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F0mU5cwBAACnAwAADgAAAAAAAAABACAAAAAiAQAAZHJz&#10;L2Uyb0RvYy54bWxQSwUGAAAAAAYABgBZAQAAYA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JpeTdMwBAACnAwAADgAAAAAAAAABACAAAAAiAQAAZHJz&#10;L2Uyb0RvYy54bWxQSwUGAAAAAAYABgBZAQAAYA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0CA3"/>
    <w:rsid w:val="09667B0D"/>
    <w:rsid w:val="0A3D797F"/>
    <w:rsid w:val="0C6531BD"/>
    <w:rsid w:val="0F392F36"/>
    <w:rsid w:val="1E276524"/>
    <w:rsid w:val="1F3F2927"/>
    <w:rsid w:val="21A156AF"/>
    <w:rsid w:val="21DA1AFF"/>
    <w:rsid w:val="230C452B"/>
    <w:rsid w:val="25DF5936"/>
    <w:rsid w:val="28222C42"/>
    <w:rsid w:val="39765251"/>
    <w:rsid w:val="39D9087E"/>
    <w:rsid w:val="3EEE2521"/>
    <w:rsid w:val="3F5900B0"/>
    <w:rsid w:val="4D502AF2"/>
    <w:rsid w:val="4E9D1D67"/>
    <w:rsid w:val="57DE00B6"/>
    <w:rsid w:val="5EE17A4E"/>
    <w:rsid w:val="5F124986"/>
    <w:rsid w:val="62C46C97"/>
    <w:rsid w:val="65AC2FF2"/>
    <w:rsid w:val="67664A19"/>
    <w:rsid w:val="68030431"/>
    <w:rsid w:val="6B4760AA"/>
    <w:rsid w:val="73116555"/>
    <w:rsid w:val="73DF6DAC"/>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2548</Words>
  <Characters>2567</Characters>
  <Lines>0</Lines>
  <Paragraphs>0</Paragraphs>
  <TotalTime>3</TotalTime>
  <ScaleCrop>false</ScaleCrop>
  <LinksUpToDate>false</LinksUpToDate>
  <CharactersWithSpaces>2911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2024-09-03T07:54:51Z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